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58735642" w:rsidR="00310239" w:rsidRDefault="00310239" w:rsidP="002210EE"/>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155A00CB" w14:textId="73586C63" w:rsidR="0090647E" w:rsidRPr="00784824" w:rsidRDefault="00F92DCB" w:rsidP="0090647E">
      <w:pPr>
        <w:pStyle w:val="Title"/>
      </w:pPr>
      <w:r>
        <w:t xml:space="preserve">checklist </w:t>
      </w:r>
      <w:r w:rsidR="004B3C05">
        <w:t>for analytical cross sectional studies</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7"/>
          <w:footerReference w:type="even" r:id="rId8"/>
          <w:footerReference w:type="default" r:id="rId9"/>
          <w:headerReference w:type="first" r:id="rId10"/>
          <w:footerReference w:type="first" r:id="rId11"/>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br w:type="page"/>
      </w:r>
      <w:r w:rsidR="00127D9C">
        <w:lastRenderedPageBreak/>
        <w:t>Introduction</w:t>
      </w:r>
    </w:p>
    <w:p w14:paraId="3FC6DEA4" w14:textId="406AF470" w:rsidR="00AB3B71" w:rsidRPr="009D21A9" w:rsidRDefault="009D21A9" w:rsidP="004B1099">
      <w:pPr>
        <w:spacing w:line="360" w:lineRule="auto"/>
        <w:rPr>
          <w:lang w:val="en-AU"/>
        </w:rPr>
      </w:pPr>
      <w:r>
        <w:t>JBI</w:t>
      </w:r>
      <w:r w:rsidR="00127D9C" w:rsidRPr="00402F58">
        <w:t xml:space="preserve"> is an </w:t>
      </w: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00127D9C" w:rsidRPr="00402F58">
        <w:t xml:space="preserve">With over </w:t>
      </w:r>
      <w:r>
        <w:t>70</w:t>
      </w:r>
      <w:r w:rsidR="00127D9C" w:rsidRPr="00402F58">
        <w:t xml:space="preserve"> </w:t>
      </w:r>
      <w:r>
        <w:t>Co</w:t>
      </w:r>
      <w:r w:rsidR="00127D9C" w:rsidRPr="00402F58">
        <w:t xml:space="preserve">llaborating </w:t>
      </w:r>
      <w:r>
        <w:t>E</w:t>
      </w:r>
      <w:r w:rsidR="00127D9C" w:rsidRPr="00402F58">
        <w:t xml:space="preserve">ntities, servicing over 90 countries, </w:t>
      </w:r>
      <w:r>
        <w:t>JBI</w:t>
      </w:r>
      <w:r w:rsidR="00127D9C" w:rsidRPr="00402F58">
        <w:t xml:space="preserve"> is a recogni</w:t>
      </w:r>
      <w:r w:rsidR="00541929">
        <w:t>s</w:t>
      </w:r>
      <w:r w:rsidR="00127D9C" w:rsidRPr="00402F58">
        <w:t>ed global leader in evidence-based healthcare.</w:t>
      </w:r>
      <w:r w:rsidR="00F42EA9" w:rsidRPr="00F42EA9">
        <w:t xml:space="preserve"> </w:t>
      </w:r>
    </w:p>
    <w:p w14:paraId="17631525" w14:textId="2264FDAC" w:rsidR="004B1099" w:rsidRDefault="00127D9C" w:rsidP="004B1099">
      <w:pPr>
        <w:pStyle w:val="Heading2"/>
        <w:spacing w:line="360" w:lineRule="auto"/>
      </w:pPr>
      <w:r>
        <w:t>JBI Systematic Reviews</w:t>
      </w:r>
    </w:p>
    <w:p w14:paraId="7DD0AB01" w14:textId="635B0B26" w:rsidR="00127D9C" w:rsidRDefault="00127D9C" w:rsidP="004B1099">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rsidR="00AD0279">
        <w:t>s</w:t>
      </w:r>
      <w:r w:rsidRPr="00402F58">
        <w:t>ed to synthesi</w:t>
      </w:r>
      <w:r w:rsidR="00AD0279">
        <w:t>s</w:t>
      </w:r>
      <w:r w:rsidRPr="00402F58">
        <w:t xml:space="preserve">e those different types of evidence. In line with this broader view of evidence, </w:t>
      </w:r>
      <w:r w:rsidR="00AD0279">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2" w:history="1">
        <w:r w:rsidR="00541929" w:rsidRPr="00541929">
          <w:rPr>
            <w:rStyle w:val="Hyperlink"/>
          </w:rPr>
          <w:t>JBI Evidence Synthesis Manual</w:t>
        </w:r>
      </w:hyperlink>
      <w:r w:rsidR="00541929">
        <w:t xml:space="preserve">. </w:t>
      </w:r>
    </w:p>
    <w:p w14:paraId="56F1ADC8" w14:textId="2B9586E6" w:rsidR="004B1099" w:rsidRDefault="00127D9C" w:rsidP="004B1099">
      <w:pPr>
        <w:pStyle w:val="Heading2"/>
        <w:spacing w:line="360" w:lineRule="auto"/>
      </w:pPr>
      <w:r>
        <w:t>JBI Critical Appraisal Tools</w:t>
      </w:r>
    </w:p>
    <w:p w14:paraId="4241E014" w14:textId="4F2EF173" w:rsidR="00851A6F" w:rsidRDefault="00127D9C" w:rsidP="004B1099">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00A5731A" w:rsidRPr="00F42EA9">
        <w:t xml:space="preserve"> </w:t>
      </w:r>
    </w:p>
    <w:p w14:paraId="020DD310" w14:textId="2F50414E" w:rsidR="00127D9C" w:rsidRDefault="00127D9C">
      <w:pPr>
        <w:spacing w:after="160" w:line="240" w:lineRule="auto"/>
      </w:pPr>
      <w:r>
        <w:br w:type="page"/>
      </w:r>
    </w:p>
    <w:p w14:paraId="3E353A13" w14:textId="00A29B09"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4B1099">
        <w:rPr>
          <w:rFonts w:eastAsia="Calibri"/>
          <w:lang w:eastAsia="en-AU"/>
        </w:rPr>
        <w:br/>
      </w:r>
      <w:r w:rsidR="004B3C05">
        <w:rPr>
          <w:rFonts w:eastAsia="Calibri"/>
          <w:lang w:eastAsia="en-AU"/>
        </w:rPr>
        <w:t>analytical cross sectional studies</w:t>
      </w:r>
    </w:p>
    <w:p w14:paraId="21231D0C" w14:textId="77777777" w:rsidR="009D21A9" w:rsidRDefault="009D21A9" w:rsidP="00127D9C">
      <w:pPr>
        <w:spacing w:before="120" w:line="300" w:lineRule="atLeast"/>
        <w:jc w:val="both"/>
        <w:rPr>
          <w:rFonts w:eastAsia="Calibri" w:cs="Times New Roman"/>
          <w:szCs w:val="22"/>
          <w:lang w:eastAsia="en-AU"/>
        </w:rPr>
      </w:pPr>
    </w:p>
    <w:p w14:paraId="6B2A2D49" w14:textId="0FB4AB7A"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C183D6F" w14:textId="77777777" w:rsidR="00127D9C" w:rsidRPr="00C43F1F" w:rsidRDefault="00127D9C" w:rsidP="00127D9C">
      <w:pPr>
        <w:spacing w:before="120" w:line="300" w:lineRule="atLeast"/>
        <w:jc w:val="both"/>
        <w:rPr>
          <w:rFonts w:eastAsia="Calibri" w:cs="Times New Roman"/>
          <w:szCs w:val="22"/>
          <w:u w:val="dash"/>
          <w:lang w:eastAsia="en-AU"/>
        </w:rPr>
      </w:pPr>
    </w:p>
    <w:p w14:paraId="58F9A529" w14:textId="0631F0D7" w:rsidR="00127D9C"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p w14:paraId="44F10E05" w14:textId="77777777" w:rsidR="00543CB7" w:rsidRPr="00C43F1F" w:rsidRDefault="00543CB7" w:rsidP="00127D9C">
      <w:pPr>
        <w:spacing w:before="120" w:line="300" w:lineRule="atLeast"/>
        <w:jc w:val="both"/>
        <w:rPr>
          <w:rFonts w:eastAsia="Calibri" w:cs="Times New Roman"/>
          <w:szCs w:val="22"/>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08"/>
        <w:gridCol w:w="1128"/>
      </w:tblGrid>
      <w:tr w:rsidR="004B3C05" w:rsidRPr="000D6717" w14:paraId="558A6056" w14:textId="77777777" w:rsidTr="00711E9B">
        <w:tc>
          <w:tcPr>
            <w:tcW w:w="5778" w:type="dxa"/>
          </w:tcPr>
          <w:p w14:paraId="7D23651F" w14:textId="77777777" w:rsidR="004B3C05" w:rsidRPr="000D6717" w:rsidRDefault="004B3C05" w:rsidP="00711E9B">
            <w:pPr>
              <w:spacing w:line="276" w:lineRule="auto"/>
              <w:jc w:val="both"/>
              <w:rPr>
                <w:rFonts w:cstheme="minorHAnsi"/>
              </w:rPr>
            </w:pPr>
          </w:p>
        </w:tc>
        <w:tc>
          <w:tcPr>
            <w:tcW w:w="746" w:type="dxa"/>
          </w:tcPr>
          <w:p w14:paraId="51EB5929" w14:textId="77777777" w:rsidR="004B3C05" w:rsidRPr="000D6717" w:rsidRDefault="004B3C05" w:rsidP="00711E9B">
            <w:pPr>
              <w:spacing w:line="276" w:lineRule="auto"/>
              <w:jc w:val="center"/>
            </w:pPr>
            <w:r w:rsidRPr="000D6717">
              <w:t>Yes</w:t>
            </w:r>
          </w:p>
        </w:tc>
        <w:tc>
          <w:tcPr>
            <w:tcW w:w="682" w:type="dxa"/>
          </w:tcPr>
          <w:p w14:paraId="4CC86052" w14:textId="77777777" w:rsidR="004B3C05" w:rsidRPr="000D6717" w:rsidRDefault="004B3C05" w:rsidP="00711E9B">
            <w:pPr>
              <w:spacing w:line="276" w:lineRule="auto"/>
              <w:jc w:val="center"/>
            </w:pPr>
            <w:r w:rsidRPr="000D6717">
              <w:t>No</w:t>
            </w:r>
          </w:p>
        </w:tc>
        <w:tc>
          <w:tcPr>
            <w:tcW w:w="908" w:type="dxa"/>
          </w:tcPr>
          <w:p w14:paraId="3E240F3E" w14:textId="77777777" w:rsidR="004B3C05" w:rsidRPr="000D6717" w:rsidRDefault="004B3C05" w:rsidP="00711E9B">
            <w:pPr>
              <w:spacing w:line="276" w:lineRule="auto"/>
              <w:jc w:val="center"/>
            </w:pPr>
            <w:r w:rsidRPr="000D6717">
              <w:t>Unclear</w:t>
            </w:r>
          </w:p>
        </w:tc>
        <w:tc>
          <w:tcPr>
            <w:tcW w:w="1128" w:type="dxa"/>
          </w:tcPr>
          <w:p w14:paraId="0869951E" w14:textId="77777777" w:rsidR="004B3C05" w:rsidRPr="000D6717" w:rsidRDefault="004B3C05" w:rsidP="00711E9B">
            <w:pPr>
              <w:spacing w:line="276" w:lineRule="auto"/>
              <w:jc w:val="center"/>
            </w:pPr>
            <w:r w:rsidRPr="000D6717">
              <w:t>Not applicable</w:t>
            </w:r>
          </w:p>
        </w:tc>
      </w:tr>
      <w:tr w:rsidR="004B3C05" w:rsidRPr="000D6717" w14:paraId="67F90757" w14:textId="77777777" w:rsidTr="00711E9B">
        <w:tc>
          <w:tcPr>
            <w:tcW w:w="5778" w:type="dxa"/>
            <w:vAlign w:val="center"/>
          </w:tcPr>
          <w:p w14:paraId="389EA52D" w14:textId="77777777" w:rsidR="004B3C05" w:rsidRPr="000D6717" w:rsidRDefault="004B3C05" w:rsidP="004B3C05">
            <w:pPr>
              <w:pStyle w:val="ListParagraph"/>
              <w:numPr>
                <w:ilvl w:val="0"/>
                <w:numId w:val="21"/>
              </w:numPr>
            </w:pPr>
            <w:r w:rsidRPr="000D6717">
              <w:t>Were the criteria for inclusion in the sample clearly defined?</w:t>
            </w:r>
          </w:p>
        </w:tc>
        <w:tc>
          <w:tcPr>
            <w:tcW w:w="746" w:type="dxa"/>
            <w:vAlign w:val="center"/>
          </w:tcPr>
          <w:p w14:paraId="39337256" w14:textId="77777777" w:rsidR="004B3C05" w:rsidRPr="000D6717" w:rsidRDefault="004B3C05" w:rsidP="00711E9B">
            <w:pPr>
              <w:spacing w:line="276" w:lineRule="auto"/>
              <w:jc w:val="center"/>
              <w:rPr>
                <w:sz w:val="56"/>
              </w:rPr>
            </w:pPr>
            <w:r w:rsidRPr="000D6717">
              <w:rPr>
                <w:sz w:val="56"/>
              </w:rPr>
              <w:t>□</w:t>
            </w:r>
          </w:p>
        </w:tc>
        <w:tc>
          <w:tcPr>
            <w:tcW w:w="682" w:type="dxa"/>
            <w:vAlign w:val="center"/>
          </w:tcPr>
          <w:p w14:paraId="05B60F8F" w14:textId="77777777" w:rsidR="004B3C05" w:rsidRPr="000D6717" w:rsidRDefault="004B3C05" w:rsidP="00711E9B">
            <w:pPr>
              <w:spacing w:line="276" w:lineRule="auto"/>
              <w:jc w:val="center"/>
              <w:rPr>
                <w:sz w:val="56"/>
              </w:rPr>
            </w:pPr>
            <w:r w:rsidRPr="000D6717">
              <w:rPr>
                <w:sz w:val="56"/>
              </w:rPr>
              <w:t>□</w:t>
            </w:r>
          </w:p>
        </w:tc>
        <w:tc>
          <w:tcPr>
            <w:tcW w:w="908" w:type="dxa"/>
            <w:vAlign w:val="center"/>
          </w:tcPr>
          <w:p w14:paraId="347F8AE9" w14:textId="77777777" w:rsidR="004B3C05" w:rsidRPr="000D6717" w:rsidRDefault="004B3C05" w:rsidP="00711E9B">
            <w:pPr>
              <w:spacing w:line="276" w:lineRule="auto"/>
              <w:jc w:val="center"/>
              <w:rPr>
                <w:sz w:val="56"/>
              </w:rPr>
            </w:pPr>
            <w:r w:rsidRPr="000D6717">
              <w:rPr>
                <w:sz w:val="56"/>
              </w:rPr>
              <w:t>□</w:t>
            </w:r>
          </w:p>
        </w:tc>
        <w:tc>
          <w:tcPr>
            <w:tcW w:w="1128" w:type="dxa"/>
            <w:vAlign w:val="center"/>
          </w:tcPr>
          <w:p w14:paraId="1C00DBB2" w14:textId="77777777" w:rsidR="004B3C05" w:rsidRPr="000D6717" w:rsidRDefault="004B3C05" w:rsidP="00711E9B">
            <w:pPr>
              <w:spacing w:line="276" w:lineRule="auto"/>
              <w:jc w:val="center"/>
              <w:rPr>
                <w:sz w:val="56"/>
              </w:rPr>
            </w:pPr>
            <w:r w:rsidRPr="000D6717">
              <w:rPr>
                <w:sz w:val="56"/>
              </w:rPr>
              <w:t>□</w:t>
            </w:r>
          </w:p>
        </w:tc>
      </w:tr>
      <w:tr w:rsidR="004B3C05" w:rsidRPr="000D6717" w14:paraId="4E5214A6" w14:textId="77777777" w:rsidTr="00711E9B">
        <w:tc>
          <w:tcPr>
            <w:tcW w:w="5778" w:type="dxa"/>
            <w:vAlign w:val="center"/>
          </w:tcPr>
          <w:p w14:paraId="579B7FFA" w14:textId="77777777" w:rsidR="004B3C05" w:rsidRPr="000D6717" w:rsidRDefault="004B3C05" w:rsidP="004B3C05">
            <w:pPr>
              <w:pStyle w:val="ListParagraph"/>
              <w:numPr>
                <w:ilvl w:val="0"/>
                <w:numId w:val="21"/>
              </w:numPr>
            </w:pPr>
            <w:r w:rsidRPr="000D6717">
              <w:t>Were the study subjects and the setting described in detail?</w:t>
            </w:r>
          </w:p>
        </w:tc>
        <w:tc>
          <w:tcPr>
            <w:tcW w:w="746" w:type="dxa"/>
            <w:vAlign w:val="center"/>
          </w:tcPr>
          <w:p w14:paraId="03897ED4" w14:textId="77777777" w:rsidR="004B3C05" w:rsidRPr="000D6717" w:rsidRDefault="004B3C05" w:rsidP="00711E9B">
            <w:pPr>
              <w:spacing w:line="276" w:lineRule="auto"/>
              <w:jc w:val="center"/>
              <w:rPr>
                <w:sz w:val="56"/>
              </w:rPr>
            </w:pPr>
            <w:r w:rsidRPr="000D6717">
              <w:rPr>
                <w:sz w:val="56"/>
              </w:rPr>
              <w:t>□</w:t>
            </w:r>
          </w:p>
        </w:tc>
        <w:tc>
          <w:tcPr>
            <w:tcW w:w="682" w:type="dxa"/>
            <w:vAlign w:val="center"/>
          </w:tcPr>
          <w:p w14:paraId="4CD338CC" w14:textId="77777777" w:rsidR="004B3C05" w:rsidRPr="000D6717" w:rsidRDefault="004B3C05" w:rsidP="00711E9B">
            <w:pPr>
              <w:spacing w:line="276" w:lineRule="auto"/>
              <w:jc w:val="center"/>
              <w:rPr>
                <w:sz w:val="56"/>
              </w:rPr>
            </w:pPr>
            <w:r w:rsidRPr="000D6717">
              <w:rPr>
                <w:sz w:val="56"/>
              </w:rPr>
              <w:t>□</w:t>
            </w:r>
          </w:p>
        </w:tc>
        <w:tc>
          <w:tcPr>
            <w:tcW w:w="908" w:type="dxa"/>
            <w:vAlign w:val="center"/>
          </w:tcPr>
          <w:p w14:paraId="5E36C346" w14:textId="77777777" w:rsidR="004B3C05" w:rsidRPr="000D6717" w:rsidRDefault="004B3C05" w:rsidP="00711E9B">
            <w:pPr>
              <w:spacing w:line="276" w:lineRule="auto"/>
              <w:jc w:val="center"/>
              <w:rPr>
                <w:sz w:val="56"/>
              </w:rPr>
            </w:pPr>
            <w:r w:rsidRPr="000D6717">
              <w:rPr>
                <w:sz w:val="56"/>
              </w:rPr>
              <w:t>□</w:t>
            </w:r>
          </w:p>
        </w:tc>
        <w:tc>
          <w:tcPr>
            <w:tcW w:w="1128" w:type="dxa"/>
            <w:vAlign w:val="center"/>
          </w:tcPr>
          <w:p w14:paraId="75EE341C" w14:textId="77777777" w:rsidR="004B3C05" w:rsidRPr="000D6717" w:rsidRDefault="004B3C05" w:rsidP="00711E9B">
            <w:pPr>
              <w:spacing w:line="276" w:lineRule="auto"/>
              <w:jc w:val="center"/>
              <w:rPr>
                <w:sz w:val="56"/>
              </w:rPr>
            </w:pPr>
            <w:r w:rsidRPr="000D6717">
              <w:rPr>
                <w:sz w:val="56"/>
              </w:rPr>
              <w:t>□</w:t>
            </w:r>
          </w:p>
        </w:tc>
      </w:tr>
      <w:tr w:rsidR="004B3C05" w:rsidRPr="000D6717" w14:paraId="1507F425" w14:textId="77777777" w:rsidTr="00711E9B">
        <w:tc>
          <w:tcPr>
            <w:tcW w:w="5778" w:type="dxa"/>
            <w:vAlign w:val="center"/>
          </w:tcPr>
          <w:p w14:paraId="3DEF1586" w14:textId="77777777" w:rsidR="004B3C05" w:rsidRPr="000D6717" w:rsidRDefault="004B3C05" w:rsidP="004B3C05">
            <w:pPr>
              <w:pStyle w:val="ListParagraph"/>
              <w:numPr>
                <w:ilvl w:val="0"/>
                <w:numId w:val="21"/>
              </w:numPr>
            </w:pPr>
            <w:r w:rsidRPr="000D6717">
              <w:t>Was the exposure measured in a valid and reliable way?</w:t>
            </w:r>
          </w:p>
        </w:tc>
        <w:tc>
          <w:tcPr>
            <w:tcW w:w="746" w:type="dxa"/>
            <w:vAlign w:val="center"/>
          </w:tcPr>
          <w:p w14:paraId="18197AC4" w14:textId="77777777" w:rsidR="004B3C05" w:rsidRPr="000D6717" w:rsidRDefault="004B3C05" w:rsidP="00711E9B">
            <w:pPr>
              <w:spacing w:line="276" w:lineRule="auto"/>
              <w:jc w:val="center"/>
              <w:rPr>
                <w:sz w:val="56"/>
              </w:rPr>
            </w:pPr>
            <w:r w:rsidRPr="000D6717">
              <w:rPr>
                <w:sz w:val="56"/>
              </w:rPr>
              <w:t>□</w:t>
            </w:r>
          </w:p>
        </w:tc>
        <w:tc>
          <w:tcPr>
            <w:tcW w:w="682" w:type="dxa"/>
            <w:vAlign w:val="center"/>
          </w:tcPr>
          <w:p w14:paraId="248776D0" w14:textId="77777777" w:rsidR="004B3C05" w:rsidRPr="000D6717" w:rsidRDefault="004B3C05" w:rsidP="00711E9B">
            <w:pPr>
              <w:spacing w:line="276" w:lineRule="auto"/>
              <w:jc w:val="center"/>
              <w:rPr>
                <w:sz w:val="56"/>
              </w:rPr>
            </w:pPr>
            <w:r w:rsidRPr="000D6717">
              <w:rPr>
                <w:sz w:val="56"/>
              </w:rPr>
              <w:t>□</w:t>
            </w:r>
          </w:p>
        </w:tc>
        <w:tc>
          <w:tcPr>
            <w:tcW w:w="908" w:type="dxa"/>
            <w:vAlign w:val="center"/>
          </w:tcPr>
          <w:p w14:paraId="7BE5D995" w14:textId="77777777" w:rsidR="004B3C05" w:rsidRPr="000D6717" w:rsidRDefault="004B3C05" w:rsidP="00711E9B">
            <w:pPr>
              <w:spacing w:line="276" w:lineRule="auto"/>
              <w:jc w:val="center"/>
              <w:rPr>
                <w:sz w:val="56"/>
              </w:rPr>
            </w:pPr>
            <w:r w:rsidRPr="000D6717">
              <w:rPr>
                <w:sz w:val="56"/>
              </w:rPr>
              <w:t>□</w:t>
            </w:r>
          </w:p>
        </w:tc>
        <w:tc>
          <w:tcPr>
            <w:tcW w:w="1128" w:type="dxa"/>
            <w:vAlign w:val="center"/>
          </w:tcPr>
          <w:p w14:paraId="3BD92908" w14:textId="77777777" w:rsidR="004B3C05" w:rsidRPr="000D6717" w:rsidRDefault="004B3C05" w:rsidP="00711E9B">
            <w:pPr>
              <w:spacing w:line="276" w:lineRule="auto"/>
              <w:jc w:val="center"/>
              <w:rPr>
                <w:sz w:val="56"/>
              </w:rPr>
            </w:pPr>
            <w:r w:rsidRPr="000D6717">
              <w:rPr>
                <w:sz w:val="56"/>
              </w:rPr>
              <w:t>□</w:t>
            </w:r>
          </w:p>
        </w:tc>
      </w:tr>
      <w:tr w:rsidR="004B3C05" w:rsidRPr="000D6717" w14:paraId="6024290B" w14:textId="77777777" w:rsidTr="00711E9B">
        <w:tc>
          <w:tcPr>
            <w:tcW w:w="5778" w:type="dxa"/>
            <w:vAlign w:val="center"/>
          </w:tcPr>
          <w:p w14:paraId="6D2DF9EB" w14:textId="77777777" w:rsidR="004B3C05" w:rsidRPr="000D6717" w:rsidRDefault="004B3C05" w:rsidP="004B3C05">
            <w:pPr>
              <w:pStyle w:val="ListParagraph"/>
              <w:numPr>
                <w:ilvl w:val="0"/>
                <w:numId w:val="21"/>
              </w:numPr>
            </w:pPr>
            <w:r w:rsidRPr="000D6717">
              <w:t>Were objective, standard criteria used for measurement of the condition?</w:t>
            </w:r>
          </w:p>
        </w:tc>
        <w:tc>
          <w:tcPr>
            <w:tcW w:w="746" w:type="dxa"/>
            <w:vAlign w:val="center"/>
          </w:tcPr>
          <w:p w14:paraId="17D99B58" w14:textId="77777777" w:rsidR="004B3C05" w:rsidRPr="000D6717" w:rsidRDefault="004B3C05" w:rsidP="00711E9B">
            <w:pPr>
              <w:spacing w:line="276" w:lineRule="auto"/>
              <w:jc w:val="center"/>
              <w:rPr>
                <w:sz w:val="56"/>
              </w:rPr>
            </w:pPr>
            <w:r w:rsidRPr="000D6717">
              <w:rPr>
                <w:sz w:val="56"/>
              </w:rPr>
              <w:t>□</w:t>
            </w:r>
          </w:p>
        </w:tc>
        <w:tc>
          <w:tcPr>
            <w:tcW w:w="682" w:type="dxa"/>
            <w:vAlign w:val="center"/>
          </w:tcPr>
          <w:p w14:paraId="122932E6" w14:textId="77777777" w:rsidR="004B3C05" w:rsidRPr="000D6717" w:rsidRDefault="004B3C05" w:rsidP="00711E9B">
            <w:pPr>
              <w:spacing w:line="276" w:lineRule="auto"/>
              <w:jc w:val="center"/>
              <w:rPr>
                <w:sz w:val="56"/>
              </w:rPr>
            </w:pPr>
            <w:r w:rsidRPr="000D6717">
              <w:rPr>
                <w:sz w:val="56"/>
              </w:rPr>
              <w:t>□</w:t>
            </w:r>
          </w:p>
        </w:tc>
        <w:tc>
          <w:tcPr>
            <w:tcW w:w="908" w:type="dxa"/>
            <w:vAlign w:val="center"/>
          </w:tcPr>
          <w:p w14:paraId="5192504F" w14:textId="77777777" w:rsidR="004B3C05" w:rsidRPr="000D6717" w:rsidRDefault="004B3C05" w:rsidP="00711E9B">
            <w:pPr>
              <w:spacing w:line="276" w:lineRule="auto"/>
              <w:jc w:val="center"/>
              <w:rPr>
                <w:sz w:val="56"/>
              </w:rPr>
            </w:pPr>
            <w:r w:rsidRPr="000D6717">
              <w:rPr>
                <w:sz w:val="56"/>
              </w:rPr>
              <w:t>□</w:t>
            </w:r>
          </w:p>
        </w:tc>
        <w:tc>
          <w:tcPr>
            <w:tcW w:w="1128" w:type="dxa"/>
            <w:vAlign w:val="center"/>
          </w:tcPr>
          <w:p w14:paraId="751FCDB9" w14:textId="77777777" w:rsidR="004B3C05" w:rsidRPr="000D6717" w:rsidRDefault="004B3C05" w:rsidP="00711E9B">
            <w:pPr>
              <w:spacing w:line="276" w:lineRule="auto"/>
              <w:jc w:val="center"/>
              <w:rPr>
                <w:sz w:val="56"/>
              </w:rPr>
            </w:pPr>
            <w:r w:rsidRPr="000D6717">
              <w:rPr>
                <w:sz w:val="56"/>
              </w:rPr>
              <w:t>□</w:t>
            </w:r>
          </w:p>
        </w:tc>
      </w:tr>
      <w:tr w:rsidR="004B3C05" w:rsidRPr="000D6717" w14:paraId="4C88F701" w14:textId="77777777" w:rsidTr="00711E9B">
        <w:tc>
          <w:tcPr>
            <w:tcW w:w="5778" w:type="dxa"/>
            <w:vAlign w:val="center"/>
          </w:tcPr>
          <w:p w14:paraId="66476821" w14:textId="77777777" w:rsidR="004B3C05" w:rsidRPr="000D6717" w:rsidRDefault="004B3C05" w:rsidP="004B3C05">
            <w:pPr>
              <w:pStyle w:val="ListParagraph"/>
              <w:numPr>
                <w:ilvl w:val="0"/>
                <w:numId w:val="21"/>
              </w:numPr>
            </w:pPr>
            <w:proofErr w:type="spellStart"/>
            <w:r w:rsidRPr="000D6717">
              <w:t>Were</w:t>
            </w:r>
            <w:proofErr w:type="spellEnd"/>
            <w:r w:rsidRPr="000D6717">
              <w:t xml:space="preserve"> confounding factors identified?</w:t>
            </w:r>
          </w:p>
        </w:tc>
        <w:tc>
          <w:tcPr>
            <w:tcW w:w="746" w:type="dxa"/>
            <w:vAlign w:val="center"/>
          </w:tcPr>
          <w:p w14:paraId="5C72B1B9" w14:textId="77777777" w:rsidR="004B3C05" w:rsidRPr="000D6717" w:rsidRDefault="004B3C05" w:rsidP="00711E9B">
            <w:pPr>
              <w:spacing w:line="276" w:lineRule="auto"/>
              <w:jc w:val="center"/>
              <w:rPr>
                <w:sz w:val="56"/>
              </w:rPr>
            </w:pPr>
            <w:r w:rsidRPr="000D6717">
              <w:rPr>
                <w:sz w:val="56"/>
              </w:rPr>
              <w:t>□</w:t>
            </w:r>
          </w:p>
        </w:tc>
        <w:tc>
          <w:tcPr>
            <w:tcW w:w="682" w:type="dxa"/>
            <w:vAlign w:val="center"/>
          </w:tcPr>
          <w:p w14:paraId="3718EA16" w14:textId="77777777" w:rsidR="004B3C05" w:rsidRPr="000D6717" w:rsidRDefault="004B3C05" w:rsidP="00711E9B">
            <w:pPr>
              <w:spacing w:line="276" w:lineRule="auto"/>
              <w:jc w:val="center"/>
              <w:rPr>
                <w:sz w:val="56"/>
              </w:rPr>
            </w:pPr>
            <w:r w:rsidRPr="000D6717">
              <w:rPr>
                <w:sz w:val="56"/>
              </w:rPr>
              <w:t>□</w:t>
            </w:r>
          </w:p>
        </w:tc>
        <w:tc>
          <w:tcPr>
            <w:tcW w:w="908" w:type="dxa"/>
            <w:vAlign w:val="center"/>
          </w:tcPr>
          <w:p w14:paraId="51D92CB3" w14:textId="77777777" w:rsidR="004B3C05" w:rsidRPr="000D6717" w:rsidRDefault="004B3C05" w:rsidP="00711E9B">
            <w:pPr>
              <w:spacing w:line="276" w:lineRule="auto"/>
              <w:jc w:val="center"/>
              <w:rPr>
                <w:sz w:val="56"/>
              </w:rPr>
            </w:pPr>
            <w:r w:rsidRPr="000D6717">
              <w:rPr>
                <w:sz w:val="56"/>
              </w:rPr>
              <w:t>□</w:t>
            </w:r>
          </w:p>
        </w:tc>
        <w:tc>
          <w:tcPr>
            <w:tcW w:w="1128" w:type="dxa"/>
            <w:vAlign w:val="center"/>
          </w:tcPr>
          <w:p w14:paraId="1394BFA6" w14:textId="77777777" w:rsidR="004B3C05" w:rsidRPr="000D6717" w:rsidRDefault="004B3C05" w:rsidP="00711E9B">
            <w:pPr>
              <w:spacing w:line="276" w:lineRule="auto"/>
              <w:jc w:val="center"/>
              <w:rPr>
                <w:sz w:val="56"/>
              </w:rPr>
            </w:pPr>
            <w:r w:rsidRPr="000D6717">
              <w:rPr>
                <w:sz w:val="56"/>
              </w:rPr>
              <w:t>□</w:t>
            </w:r>
          </w:p>
        </w:tc>
      </w:tr>
      <w:tr w:rsidR="004B3C05" w:rsidRPr="000D6717" w14:paraId="74DBE23D" w14:textId="77777777" w:rsidTr="00711E9B">
        <w:tc>
          <w:tcPr>
            <w:tcW w:w="5778" w:type="dxa"/>
            <w:vAlign w:val="center"/>
          </w:tcPr>
          <w:p w14:paraId="3D78C7F1" w14:textId="77777777" w:rsidR="004B3C05" w:rsidRPr="000D6717" w:rsidRDefault="004B3C05" w:rsidP="004B3C05">
            <w:pPr>
              <w:pStyle w:val="ListParagraph"/>
              <w:numPr>
                <w:ilvl w:val="0"/>
                <w:numId w:val="21"/>
              </w:numPr>
            </w:pPr>
            <w:r w:rsidRPr="000D6717">
              <w:t>Were strategies to deal with confounding factors stated?</w:t>
            </w:r>
          </w:p>
        </w:tc>
        <w:tc>
          <w:tcPr>
            <w:tcW w:w="746" w:type="dxa"/>
            <w:vAlign w:val="center"/>
          </w:tcPr>
          <w:p w14:paraId="5D9B3593" w14:textId="77777777" w:rsidR="004B3C05" w:rsidRPr="000D6717" w:rsidRDefault="004B3C05" w:rsidP="00711E9B">
            <w:pPr>
              <w:spacing w:line="276" w:lineRule="auto"/>
              <w:jc w:val="center"/>
              <w:rPr>
                <w:sz w:val="56"/>
              </w:rPr>
            </w:pPr>
            <w:r w:rsidRPr="000D6717">
              <w:rPr>
                <w:sz w:val="56"/>
              </w:rPr>
              <w:t>□</w:t>
            </w:r>
          </w:p>
        </w:tc>
        <w:tc>
          <w:tcPr>
            <w:tcW w:w="682" w:type="dxa"/>
            <w:vAlign w:val="center"/>
          </w:tcPr>
          <w:p w14:paraId="26633E1E" w14:textId="77777777" w:rsidR="004B3C05" w:rsidRPr="000D6717" w:rsidRDefault="004B3C05" w:rsidP="00711E9B">
            <w:pPr>
              <w:spacing w:line="276" w:lineRule="auto"/>
              <w:jc w:val="center"/>
              <w:rPr>
                <w:sz w:val="56"/>
              </w:rPr>
            </w:pPr>
            <w:r w:rsidRPr="000D6717">
              <w:rPr>
                <w:sz w:val="56"/>
              </w:rPr>
              <w:t>□</w:t>
            </w:r>
          </w:p>
        </w:tc>
        <w:tc>
          <w:tcPr>
            <w:tcW w:w="908" w:type="dxa"/>
            <w:vAlign w:val="center"/>
          </w:tcPr>
          <w:p w14:paraId="4852C616" w14:textId="77777777" w:rsidR="004B3C05" w:rsidRPr="000D6717" w:rsidRDefault="004B3C05" w:rsidP="00711E9B">
            <w:pPr>
              <w:spacing w:line="276" w:lineRule="auto"/>
              <w:jc w:val="center"/>
              <w:rPr>
                <w:sz w:val="56"/>
              </w:rPr>
            </w:pPr>
            <w:r w:rsidRPr="000D6717">
              <w:rPr>
                <w:sz w:val="56"/>
              </w:rPr>
              <w:t>□</w:t>
            </w:r>
          </w:p>
        </w:tc>
        <w:tc>
          <w:tcPr>
            <w:tcW w:w="1128" w:type="dxa"/>
            <w:vAlign w:val="center"/>
          </w:tcPr>
          <w:p w14:paraId="2A8614E2" w14:textId="77777777" w:rsidR="004B3C05" w:rsidRPr="000D6717" w:rsidRDefault="004B3C05" w:rsidP="00711E9B">
            <w:pPr>
              <w:spacing w:line="276" w:lineRule="auto"/>
              <w:jc w:val="center"/>
              <w:rPr>
                <w:sz w:val="56"/>
              </w:rPr>
            </w:pPr>
            <w:r w:rsidRPr="000D6717">
              <w:rPr>
                <w:sz w:val="56"/>
              </w:rPr>
              <w:t>□</w:t>
            </w:r>
          </w:p>
        </w:tc>
      </w:tr>
      <w:tr w:rsidR="004B3C05" w:rsidRPr="000D6717" w14:paraId="3C97A8F4" w14:textId="77777777" w:rsidTr="00711E9B">
        <w:tc>
          <w:tcPr>
            <w:tcW w:w="5778" w:type="dxa"/>
            <w:vAlign w:val="center"/>
          </w:tcPr>
          <w:p w14:paraId="32832A95" w14:textId="77777777" w:rsidR="004B3C05" w:rsidRPr="000D6717" w:rsidRDefault="004B3C05" w:rsidP="004B3C05">
            <w:pPr>
              <w:pStyle w:val="ListParagraph"/>
              <w:numPr>
                <w:ilvl w:val="0"/>
                <w:numId w:val="21"/>
              </w:numPr>
            </w:pPr>
            <w:r w:rsidRPr="000D6717">
              <w:t>Were the outcomes measured in a valid and reliable way?</w:t>
            </w:r>
          </w:p>
        </w:tc>
        <w:tc>
          <w:tcPr>
            <w:tcW w:w="746" w:type="dxa"/>
            <w:vAlign w:val="center"/>
          </w:tcPr>
          <w:p w14:paraId="6D0569AC" w14:textId="77777777" w:rsidR="004B3C05" w:rsidRPr="000D6717" w:rsidRDefault="004B3C05" w:rsidP="00711E9B">
            <w:pPr>
              <w:spacing w:line="276" w:lineRule="auto"/>
              <w:jc w:val="center"/>
              <w:rPr>
                <w:sz w:val="56"/>
              </w:rPr>
            </w:pPr>
            <w:r w:rsidRPr="000D6717">
              <w:rPr>
                <w:sz w:val="56"/>
              </w:rPr>
              <w:t>□</w:t>
            </w:r>
          </w:p>
        </w:tc>
        <w:tc>
          <w:tcPr>
            <w:tcW w:w="682" w:type="dxa"/>
            <w:vAlign w:val="center"/>
          </w:tcPr>
          <w:p w14:paraId="03B3D9A2" w14:textId="77777777" w:rsidR="004B3C05" w:rsidRPr="000D6717" w:rsidRDefault="004B3C05" w:rsidP="00711E9B">
            <w:pPr>
              <w:spacing w:line="276" w:lineRule="auto"/>
              <w:jc w:val="center"/>
              <w:rPr>
                <w:sz w:val="56"/>
              </w:rPr>
            </w:pPr>
            <w:r w:rsidRPr="000D6717">
              <w:rPr>
                <w:sz w:val="56"/>
              </w:rPr>
              <w:t>□</w:t>
            </w:r>
          </w:p>
        </w:tc>
        <w:tc>
          <w:tcPr>
            <w:tcW w:w="908" w:type="dxa"/>
            <w:vAlign w:val="center"/>
          </w:tcPr>
          <w:p w14:paraId="25B0CFEE" w14:textId="77777777" w:rsidR="004B3C05" w:rsidRPr="000D6717" w:rsidRDefault="004B3C05" w:rsidP="00711E9B">
            <w:pPr>
              <w:spacing w:line="276" w:lineRule="auto"/>
              <w:jc w:val="center"/>
              <w:rPr>
                <w:sz w:val="56"/>
              </w:rPr>
            </w:pPr>
            <w:r w:rsidRPr="000D6717">
              <w:rPr>
                <w:sz w:val="56"/>
              </w:rPr>
              <w:t>□</w:t>
            </w:r>
          </w:p>
        </w:tc>
        <w:tc>
          <w:tcPr>
            <w:tcW w:w="1128" w:type="dxa"/>
            <w:vAlign w:val="center"/>
          </w:tcPr>
          <w:p w14:paraId="0B259A28" w14:textId="77777777" w:rsidR="004B3C05" w:rsidRPr="000D6717" w:rsidRDefault="004B3C05" w:rsidP="00711E9B">
            <w:pPr>
              <w:spacing w:line="276" w:lineRule="auto"/>
              <w:jc w:val="center"/>
              <w:rPr>
                <w:sz w:val="56"/>
              </w:rPr>
            </w:pPr>
            <w:r w:rsidRPr="000D6717">
              <w:rPr>
                <w:sz w:val="56"/>
              </w:rPr>
              <w:t>□</w:t>
            </w:r>
          </w:p>
        </w:tc>
      </w:tr>
      <w:tr w:rsidR="004B3C05" w:rsidRPr="000D6717" w14:paraId="544736A3" w14:textId="77777777" w:rsidTr="00711E9B">
        <w:tc>
          <w:tcPr>
            <w:tcW w:w="5778" w:type="dxa"/>
            <w:vAlign w:val="center"/>
          </w:tcPr>
          <w:p w14:paraId="213969DD" w14:textId="77777777" w:rsidR="004B3C05" w:rsidRPr="000D6717" w:rsidRDefault="004B3C05" w:rsidP="004B3C05">
            <w:pPr>
              <w:pStyle w:val="ListParagraph"/>
              <w:numPr>
                <w:ilvl w:val="0"/>
                <w:numId w:val="21"/>
              </w:numPr>
            </w:pPr>
            <w:r w:rsidRPr="000D6717">
              <w:t>Was appropriate statistical analysis used?</w:t>
            </w:r>
          </w:p>
        </w:tc>
        <w:tc>
          <w:tcPr>
            <w:tcW w:w="746" w:type="dxa"/>
            <w:vAlign w:val="center"/>
          </w:tcPr>
          <w:p w14:paraId="329F193B" w14:textId="77777777" w:rsidR="004B3C05" w:rsidRPr="000D6717" w:rsidRDefault="004B3C05" w:rsidP="00711E9B">
            <w:pPr>
              <w:spacing w:line="276" w:lineRule="auto"/>
              <w:jc w:val="center"/>
              <w:rPr>
                <w:sz w:val="56"/>
              </w:rPr>
            </w:pPr>
            <w:r w:rsidRPr="000D6717">
              <w:rPr>
                <w:sz w:val="56"/>
              </w:rPr>
              <w:t>□</w:t>
            </w:r>
          </w:p>
        </w:tc>
        <w:tc>
          <w:tcPr>
            <w:tcW w:w="682" w:type="dxa"/>
            <w:vAlign w:val="center"/>
          </w:tcPr>
          <w:p w14:paraId="1C97AD06" w14:textId="77777777" w:rsidR="004B3C05" w:rsidRPr="000D6717" w:rsidRDefault="004B3C05" w:rsidP="00711E9B">
            <w:pPr>
              <w:spacing w:line="276" w:lineRule="auto"/>
              <w:jc w:val="center"/>
              <w:rPr>
                <w:sz w:val="56"/>
              </w:rPr>
            </w:pPr>
            <w:r w:rsidRPr="000D6717">
              <w:rPr>
                <w:sz w:val="56"/>
              </w:rPr>
              <w:t>□</w:t>
            </w:r>
          </w:p>
        </w:tc>
        <w:tc>
          <w:tcPr>
            <w:tcW w:w="908" w:type="dxa"/>
            <w:vAlign w:val="center"/>
          </w:tcPr>
          <w:p w14:paraId="01D588B0" w14:textId="77777777" w:rsidR="004B3C05" w:rsidRPr="000D6717" w:rsidRDefault="004B3C05" w:rsidP="00711E9B">
            <w:pPr>
              <w:spacing w:line="276" w:lineRule="auto"/>
              <w:jc w:val="center"/>
              <w:rPr>
                <w:sz w:val="56"/>
              </w:rPr>
            </w:pPr>
            <w:r w:rsidRPr="000D6717">
              <w:rPr>
                <w:sz w:val="56"/>
              </w:rPr>
              <w:t>□</w:t>
            </w:r>
          </w:p>
        </w:tc>
        <w:tc>
          <w:tcPr>
            <w:tcW w:w="1128" w:type="dxa"/>
            <w:vAlign w:val="center"/>
          </w:tcPr>
          <w:p w14:paraId="77E982AE" w14:textId="77777777" w:rsidR="004B3C05" w:rsidRPr="000D6717" w:rsidRDefault="004B3C05" w:rsidP="00711E9B">
            <w:pPr>
              <w:spacing w:line="276" w:lineRule="auto"/>
              <w:jc w:val="center"/>
              <w:rPr>
                <w:sz w:val="56"/>
              </w:rPr>
            </w:pPr>
            <w:r w:rsidRPr="000D6717">
              <w:rPr>
                <w:sz w:val="56"/>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15FC15A4" w:rsidR="002A588F" w:rsidRPr="00B96321" w:rsidRDefault="002A588F" w:rsidP="00B96321">
      <w:pPr>
        <w:pStyle w:val="JBI-MainHeading"/>
        <w:rPr>
          <w:rFonts w:eastAsia="Calibri"/>
        </w:rPr>
      </w:pPr>
      <w:r>
        <w:rPr>
          <w:rFonts w:eastAsia="Calibri"/>
          <w:sz w:val="20"/>
          <w:szCs w:val="22"/>
          <w:u w:val="single"/>
          <w:lang w:eastAsia="en-AU"/>
        </w:rPr>
        <w:br w:type="page"/>
      </w:r>
      <w:r w:rsidR="00B96321" w:rsidRPr="00242E61">
        <w:rPr>
          <w:rFonts w:eastAsia="Calibri"/>
        </w:rPr>
        <w:lastRenderedPageBreak/>
        <w:t xml:space="preserve">Explanation </w:t>
      </w:r>
      <w:r w:rsidR="004B3C05">
        <w:rPr>
          <w:rFonts w:eastAsia="Calibri"/>
        </w:rPr>
        <w:t>of analytical cross sectional studies critical appraisal</w:t>
      </w:r>
    </w:p>
    <w:p w14:paraId="7F7F2571" w14:textId="6317BA1E" w:rsidR="004B3C05" w:rsidRDefault="004B3C05" w:rsidP="00B267C4">
      <w:pPr>
        <w:rPr>
          <w:rFonts w:cs="Arial"/>
          <w:szCs w:val="22"/>
          <w:shd w:val="clear" w:color="auto" w:fill="FFFFFF"/>
        </w:rPr>
      </w:pPr>
      <w:r w:rsidRPr="000A6722">
        <w:rPr>
          <w:rFonts w:cs="Times New Roman"/>
          <w:i/>
          <w:sz w:val="24"/>
        </w:rPr>
        <w:t>How to cite:</w:t>
      </w:r>
      <w:r w:rsidRPr="000A6722">
        <w:rPr>
          <w:sz w:val="24"/>
        </w:rPr>
        <w:t xml:space="preserve"> </w:t>
      </w:r>
      <w:r>
        <w:rPr>
          <w:szCs w:val="22"/>
        </w:rPr>
        <w:t xml:space="preserve">Moola S, Munn Z, </w:t>
      </w:r>
      <w:proofErr w:type="spellStart"/>
      <w:r>
        <w:rPr>
          <w:szCs w:val="22"/>
        </w:rPr>
        <w:t>Tufanaru</w:t>
      </w:r>
      <w:proofErr w:type="spellEnd"/>
      <w:r>
        <w:rPr>
          <w:szCs w:val="22"/>
        </w:rPr>
        <w:t xml:space="preserve"> C, Aromataris E, Sears K, </w:t>
      </w:r>
      <w:proofErr w:type="spellStart"/>
      <w:r>
        <w:rPr>
          <w:szCs w:val="22"/>
        </w:rPr>
        <w:t>Sfetcu</w:t>
      </w:r>
      <w:proofErr w:type="spellEnd"/>
      <w:r>
        <w:rPr>
          <w:szCs w:val="22"/>
        </w:rPr>
        <w:t xml:space="preserve"> R, Currie M, Qureshi R, Mattis P, Lisy K, Mu P-F. </w:t>
      </w:r>
      <w:r>
        <w:rPr>
          <w:rFonts w:cs="Arial"/>
          <w:szCs w:val="22"/>
          <w:shd w:val="clear" w:color="auto" w:fill="FFFFFF"/>
        </w:rPr>
        <w:t xml:space="preserve">Chapter 7: Systematic reviews of </w:t>
      </w:r>
      <w:proofErr w:type="spellStart"/>
      <w:r>
        <w:rPr>
          <w:rFonts w:cs="Arial"/>
          <w:szCs w:val="22"/>
          <w:shd w:val="clear" w:color="auto" w:fill="FFFFFF"/>
        </w:rPr>
        <w:t>etiology</w:t>
      </w:r>
      <w:proofErr w:type="spellEnd"/>
      <w:r>
        <w:rPr>
          <w:rFonts w:cs="Arial"/>
          <w:szCs w:val="22"/>
          <w:shd w:val="clear" w:color="auto" w:fill="FFFFFF"/>
        </w:rPr>
        <w:t xml:space="preserve"> and risk . In: Aromataris E, Munn Z (Editors)</w:t>
      </w:r>
      <w:r>
        <w:rPr>
          <w:rStyle w:val="Emphasis"/>
          <w:rFonts w:cs="Arial"/>
          <w:szCs w:val="22"/>
          <w:shd w:val="clear" w:color="auto" w:fill="FFFFFF"/>
        </w:rPr>
        <w:t xml:space="preserve">. </w:t>
      </w:r>
      <w:r w:rsidR="009D21A9">
        <w:rPr>
          <w:rStyle w:val="Emphasis"/>
          <w:rFonts w:cs="Arial"/>
          <w:szCs w:val="22"/>
          <w:shd w:val="clear" w:color="auto" w:fill="FFFFFF"/>
        </w:rPr>
        <w:t>JBI Manual for Evidence Synthesis</w:t>
      </w:r>
      <w:r>
        <w:rPr>
          <w:rStyle w:val="Emphasis"/>
          <w:rFonts w:cs="Arial"/>
          <w:szCs w:val="22"/>
          <w:shd w:val="clear" w:color="auto" w:fill="FFFFFF"/>
        </w:rPr>
        <w:t>. </w:t>
      </w:r>
      <w:r w:rsidR="009D21A9">
        <w:rPr>
          <w:rFonts w:cs="Arial"/>
          <w:szCs w:val="22"/>
          <w:shd w:val="clear" w:color="auto" w:fill="FFFFFF"/>
        </w:rPr>
        <w:t>JBI</w:t>
      </w:r>
      <w:r>
        <w:rPr>
          <w:rFonts w:cs="Arial"/>
          <w:szCs w:val="22"/>
          <w:shd w:val="clear" w:color="auto" w:fill="FFFFFF"/>
        </w:rPr>
        <w:t>, 20</w:t>
      </w:r>
      <w:r w:rsidR="00541929">
        <w:rPr>
          <w:rFonts w:cs="Arial"/>
          <w:szCs w:val="22"/>
          <w:shd w:val="clear" w:color="auto" w:fill="FFFFFF"/>
        </w:rPr>
        <w:t>20</w:t>
      </w:r>
      <w:r>
        <w:rPr>
          <w:rFonts w:cs="Arial"/>
          <w:szCs w:val="22"/>
          <w:shd w:val="clear" w:color="auto" w:fill="FFFFFF"/>
        </w:rPr>
        <w:t>. Available from </w:t>
      </w:r>
      <w:hyperlink r:id="rId13" w:history="1">
        <w:r w:rsidR="009D21A9" w:rsidRPr="00F1568E">
          <w:rPr>
            <w:rStyle w:val="Hyperlink"/>
            <w:rFonts w:cs="Arial"/>
            <w:szCs w:val="22"/>
            <w:shd w:val="clear" w:color="auto" w:fill="FFFFFF"/>
          </w:rPr>
          <w:t>https://synthesismanua</w:t>
        </w:r>
        <w:r w:rsidR="009D21A9" w:rsidRPr="00F1568E">
          <w:rPr>
            <w:rStyle w:val="Hyperlink"/>
            <w:rFonts w:cs="Arial"/>
            <w:szCs w:val="22"/>
            <w:shd w:val="clear" w:color="auto" w:fill="FFFFFF"/>
          </w:rPr>
          <w:t>l</w:t>
        </w:r>
        <w:r w:rsidR="009D21A9" w:rsidRPr="00F1568E">
          <w:rPr>
            <w:rStyle w:val="Hyperlink"/>
            <w:rFonts w:cs="Arial"/>
            <w:szCs w:val="22"/>
            <w:shd w:val="clear" w:color="auto" w:fill="FFFFFF"/>
          </w:rPr>
          <w:t>.jbi.global</w:t>
        </w:r>
      </w:hyperlink>
      <w:r w:rsidR="009D21A9">
        <w:rPr>
          <w:rFonts w:cs="Arial"/>
          <w:szCs w:val="22"/>
          <w:shd w:val="clear" w:color="auto" w:fill="FFFFFF"/>
        </w:rPr>
        <w:t xml:space="preserve"> </w:t>
      </w:r>
    </w:p>
    <w:p w14:paraId="1A4E8941" w14:textId="77777777" w:rsidR="004B3C05" w:rsidRPr="000A6722" w:rsidRDefault="004B3C05" w:rsidP="004B3C05">
      <w:pPr>
        <w:spacing w:before="200"/>
        <w:jc w:val="both"/>
        <w:rPr>
          <w:rFonts w:cs="Times New Roman"/>
          <w:b/>
          <w:sz w:val="24"/>
        </w:rPr>
      </w:pPr>
      <w:r>
        <w:rPr>
          <w:rFonts w:cs="Times New Roman"/>
          <w:b/>
          <w:sz w:val="24"/>
        </w:rPr>
        <w:t xml:space="preserve">Analytical cross </w:t>
      </w:r>
      <w:r w:rsidRPr="000A6722">
        <w:rPr>
          <w:rFonts w:cs="Times New Roman"/>
          <w:b/>
          <w:sz w:val="24"/>
        </w:rPr>
        <w:t>sectional studies Critical Appraisal Tool</w:t>
      </w:r>
    </w:p>
    <w:p w14:paraId="3455ACEC" w14:textId="4BBB267C" w:rsidR="004B3C05" w:rsidRPr="004B3C05" w:rsidRDefault="004B3C05" w:rsidP="004B3C05">
      <w:pPr>
        <w:rPr>
          <w:rFonts w:eastAsia="Calibri"/>
        </w:rPr>
      </w:pPr>
      <w:r w:rsidRPr="00543CB7">
        <w:rPr>
          <w:rFonts w:eastAsia="Calibri"/>
        </w:rPr>
        <w:t xml:space="preserve">Answers: Yes, No, Unclear or Not/Applicable </w:t>
      </w:r>
    </w:p>
    <w:p w14:paraId="0018B6B8" w14:textId="77777777" w:rsidR="004B3C05" w:rsidRPr="004B3C05" w:rsidRDefault="004B3C05" w:rsidP="004B3C05">
      <w:pPr>
        <w:pStyle w:val="Heading2"/>
      </w:pPr>
      <w:r w:rsidRPr="004B3C05">
        <w:t>1.    Were the criteria for inclusion in the sample clearly defined?</w:t>
      </w:r>
    </w:p>
    <w:p w14:paraId="0FFD22CB" w14:textId="77777777" w:rsidR="004B3C05" w:rsidRPr="004B3C05" w:rsidRDefault="004B3C05" w:rsidP="004B3C05">
      <w:r w:rsidRPr="004B3C05">
        <w:t xml:space="preserve">The authors should provide clear inclusion and exclusion criteria that they developed prior to recruitment of the study participants. The inclusion/exclusion criteria should be specified (e.g., risk, stage of disease progression) with sufficient detail and all the necessary information critical to the study. </w:t>
      </w:r>
    </w:p>
    <w:p w14:paraId="7D2C722D" w14:textId="77777777" w:rsidR="004B3C05" w:rsidRPr="004B3C05" w:rsidRDefault="004B3C05" w:rsidP="004B3C05">
      <w:pPr>
        <w:pStyle w:val="Heading2"/>
      </w:pPr>
      <w:r w:rsidRPr="004B3C05">
        <w:t>2.    Were the study subjects and the setting described in detail?</w:t>
      </w:r>
    </w:p>
    <w:p w14:paraId="03EAEDE9" w14:textId="77777777" w:rsidR="004B3C05" w:rsidRPr="004B3C05" w:rsidRDefault="004B3C05" w:rsidP="004B3C05">
      <w:r w:rsidRPr="004B3C05">
        <w:t>The study sample should be described in sufficient detail so that other researchers can determine if it is comparable to the population of interest to them. The authors should provide a clear description of the population from which the study participants were selected or recruited, including demographics, location, and time period.</w:t>
      </w:r>
    </w:p>
    <w:p w14:paraId="66B5AEA7" w14:textId="77777777" w:rsidR="004B3C05" w:rsidRPr="004B3C05" w:rsidRDefault="004B3C05" w:rsidP="004B3C05">
      <w:pPr>
        <w:pStyle w:val="Heading2"/>
      </w:pPr>
      <w:r w:rsidRPr="004B3C05">
        <w:t>3.    Was the exposure measured in a valid and reliable way?</w:t>
      </w:r>
    </w:p>
    <w:p w14:paraId="30BF7992" w14:textId="77777777" w:rsidR="004B3C05" w:rsidRPr="004B3C05" w:rsidRDefault="004B3C05" w:rsidP="004B3C05">
      <w:r w:rsidRPr="004B3C05">
        <w:t xml:space="preserve">The study should clearly describe the method of measurement of exposure. Assessing validity requires that a 'gold standard' is available to which the measure can be compared. The validity of exposure measurement usually relates to whether a current measure is appropriate or whether a measure of past exposure is needed. </w:t>
      </w:r>
    </w:p>
    <w:p w14:paraId="3CA7A04B" w14:textId="77777777" w:rsidR="004B3C05" w:rsidRPr="004B3C05" w:rsidRDefault="004B3C05" w:rsidP="004B3C05">
      <w:r w:rsidRPr="004B3C05">
        <w:t>Reliability refers to the processes included in an epidemiological study to check repeatability of measurements of the exposures. These usually include intra-observer reliability and inter-observer reliability.</w:t>
      </w:r>
    </w:p>
    <w:p w14:paraId="05BD3750" w14:textId="77777777" w:rsidR="004B3C05" w:rsidRPr="004B3C05" w:rsidRDefault="004B3C05" w:rsidP="004B3C05">
      <w:pPr>
        <w:pStyle w:val="Heading2"/>
      </w:pPr>
      <w:r w:rsidRPr="004B3C05">
        <w:t>4.   Were objective, standard criteria used for measurement of the condition?</w:t>
      </w:r>
    </w:p>
    <w:p w14:paraId="029AA7C5" w14:textId="3ACFFF88" w:rsidR="004B3C05" w:rsidRPr="004B3C05" w:rsidRDefault="004B3C05" w:rsidP="004B3C05">
      <w:r w:rsidRPr="004B3C05">
        <w:t>It is useful to determine if patients were included in the study based on either a specified diagnosis or definition. This is more likely to decrease the risk of bias. Characteristics are another useful approach to matching groups, and studies that did not use specified diagnostic methods or definitions should provide evidence on matching by key characteristics</w:t>
      </w:r>
    </w:p>
    <w:p w14:paraId="0222E518" w14:textId="77777777" w:rsidR="004B3C05" w:rsidRPr="004B3C05" w:rsidRDefault="004B3C05" w:rsidP="004B3C05">
      <w:pPr>
        <w:pStyle w:val="Heading2"/>
      </w:pPr>
      <w:r w:rsidRPr="004B3C05">
        <w:t xml:space="preserve">5.    </w:t>
      </w:r>
      <w:proofErr w:type="spellStart"/>
      <w:r w:rsidRPr="004B3C05">
        <w:t>Were</w:t>
      </w:r>
      <w:proofErr w:type="spellEnd"/>
      <w:r w:rsidRPr="004B3C05">
        <w:t xml:space="preserve"> confounding factors identified?</w:t>
      </w:r>
    </w:p>
    <w:p w14:paraId="28A499FB" w14:textId="77777777" w:rsidR="004B3C05" w:rsidRPr="004B3C05" w:rsidRDefault="004B3C05" w:rsidP="004B3C05">
      <w:r w:rsidRPr="004B3C05">
        <w:t xml:space="preserve">Confounding has occurred where the estimated intervention exposure effect is biased by the presence of some difference between the comparison groups (apart from the exposure investigated/of interest). Typical confounders include baseline characteristics, prognostic factors, or concomitant exposures (e.g. smoking). A confounder is a difference between the comparison groups and it influences the direction of the study results. A high quality study at the level of cohort design will identify the potential confounders and measure them (where possible). This is difficult for studies where </w:t>
      </w:r>
      <w:proofErr w:type="spellStart"/>
      <w:r w:rsidRPr="004B3C05">
        <w:t>behavioral</w:t>
      </w:r>
      <w:proofErr w:type="spellEnd"/>
      <w:r w:rsidRPr="004B3C05">
        <w:t>, attitudinal or lifestyle factors may impact on the results.</w:t>
      </w:r>
    </w:p>
    <w:p w14:paraId="4DB3F4F7" w14:textId="77777777" w:rsidR="004B3C05" w:rsidRPr="004B3C05" w:rsidRDefault="004B3C05" w:rsidP="004B3C05">
      <w:pPr>
        <w:pStyle w:val="Heading2"/>
      </w:pPr>
      <w:r w:rsidRPr="004B3C05">
        <w:t>6.    Were strategies to deal with confounding factors stated?</w:t>
      </w:r>
    </w:p>
    <w:p w14:paraId="4A65E7C4" w14:textId="77777777" w:rsidR="004B3C05" w:rsidRPr="004B3C05" w:rsidRDefault="004B3C05" w:rsidP="004B3C05">
      <w:r w:rsidRPr="004B3C05">
        <w:t>Strategies to deal with effects of confounding factors may be dealt within the study design or in data analysis. By matching or stratifying sampling of participants, effects of confounding factors can be adjusted for. When dealing with adjustment in data analysis, assess the statistics used in the study. Most will be some form of multivariate regression analysis to account for the confounding factors measured.</w:t>
      </w:r>
    </w:p>
    <w:p w14:paraId="427922D8" w14:textId="5BC1185D" w:rsidR="004B3C05" w:rsidRPr="004B3C05" w:rsidRDefault="000075F5" w:rsidP="004B3C05">
      <w:pPr>
        <w:pStyle w:val="Heading2"/>
      </w:pPr>
      <w:r>
        <w:rPr>
          <w:noProof/>
          <w:lang w:val="en-AU" w:eastAsia="en-AU"/>
        </w:rPr>
        <w:lastRenderedPageBreak/>
        <w:drawing>
          <wp:anchor distT="0" distB="0" distL="114300" distR="114300" simplePos="0" relativeHeight="251659264" behindDoc="1" locked="0" layoutInCell="1" allowOverlap="1" wp14:anchorId="7B56389E" wp14:editId="6EFE2950">
            <wp:simplePos x="0" y="0"/>
            <wp:positionH relativeFrom="page">
              <wp:posOffset>-6985</wp:posOffset>
            </wp:positionH>
            <wp:positionV relativeFrom="page">
              <wp:posOffset>-43290490</wp:posOffset>
            </wp:positionV>
            <wp:extent cx="7559675" cy="1068959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14"/>
                    <a:stretch>
                      <a:fillRect/>
                    </a:stretch>
                  </pic:blipFill>
                  <pic:spPr bwMode="auto">
                    <a:xfrm>
                      <a:off x="0" y="0"/>
                      <a:ext cx="7559675" cy="10689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3C05" w:rsidRPr="004B3C05">
        <w:t>7.    Were the outcomes measured in a valid and reliable way?</w:t>
      </w:r>
      <w:r w:rsidR="004B3C05" w:rsidRPr="004B3C05">
        <w:tab/>
      </w:r>
    </w:p>
    <w:p w14:paraId="2D5C5A43" w14:textId="77777777" w:rsidR="004B3C05" w:rsidRPr="004B3C05" w:rsidRDefault="004B3C05" w:rsidP="004B3C05">
      <w:r w:rsidRPr="004B3C05">
        <w:t>Read the methods section of the paper. If for e.g. lung cancer is assessed based on existing definitions or diagnostic criteria, then the answer to this question is likely to be yes. If lung cancer is assessed using observer reported, or self-reported scales, the risk of over- or under-reporting is increased, and objectivity is compromised. Importantly, determine if the measurement tools used were validated instruments as this has a significant impact on outcome assessment validity.</w:t>
      </w:r>
    </w:p>
    <w:p w14:paraId="4CE02CD7" w14:textId="77777777" w:rsidR="004B3C05" w:rsidRDefault="004B3C05" w:rsidP="004B3C05">
      <w:r w:rsidRPr="004B3C05">
        <w:t>Having established the objectivity of the outcome measurement (e.g. lung cancer) instrument, it’s important to establish how the measurement was conducted. Were those involved in collecting data trained or educated in the use of the instrument/s? (e.g. radiographers). If there was more than one data collector, were they similar in terms of level of education, clinical or research experience, or level of responsibility in the piece of research being appraised?</w:t>
      </w:r>
    </w:p>
    <w:p w14:paraId="635B7AD9" w14:textId="5B63F0C8" w:rsidR="004B3C05" w:rsidRPr="004B3C05" w:rsidRDefault="004B3C05" w:rsidP="004B3C05">
      <w:pPr>
        <w:pStyle w:val="Heading2"/>
      </w:pPr>
      <w:r w:rsidRPr="004B3C05">
        <w:t>8.    Was appropriate statistical analysis used?</w:t>
      </w:r>
    </w:p>
    <w:p w14:paraId="4784B88A" w14:textId="77777777" w:rsidR="004B3C05" w:rsidRPr="004B3C05" w:rsidRDefault="004B3C05" w:rsidP="004B3C05">
      <w:r w:rsidRPr="004B3C05">
        <w:t>As with any consideration of statistical analysis, consideration should be given to whether there was a more appropriate alternate statistical method that could have been used. The methods section should be detailed enough for reviewers to identify which analytical techniques were used (in particular, regression or stratification) and how specific confounders were measured.</w:t>
      </w:r>
    </w:p>
    <w:p w14:paraId="5CF1FAC8" w14:textId="49A85A94" w:rsidR="00127D9C" w:rsidRPr="004B3C05" w:rsidRDefault="004B3C05" w:rsidP="004B3C05">
      <w:pPr>
        <w:rPr>
          <w:rFonts w:eastAsia="Calibri"/>
        </w:rPr>
      </w:pPr>
      <w:r w:rsidRPr="004B3C05">
        <w:t>For studies utilizing regression analysis, it is useful to identify if the study identified which variables were included and how they related to the outcome. If stratification was the analytical approach used, were the strata of analysis defined by the specified variables? Additionally, it is also important to assess the appropriateness of the analytical strategy in terms of the assumptions associated with the approach as differing methods of analysis are based on differing assumptions about the data and how it will respond.</w:t>
      </w:r>
    </w:p>
    <w:sectPr w:rsidR="00127D9C" w:rsidRPr="004B3C05" w:rsidSect="00BD10DA">
      <w:type w:val="continuous"/>
      <w:pgSz w:w="11909" w:h="16834" w:code="9"/>
      <w:pgMar w:top="1001" w:right="1134" w:bottom="1418" w:left="1134" w:header="284" w:footer="748"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E4CE" w14:textId="77777777" w:rsidR="00804E9A" w:rsidRDefault="00804E9A">
      <w:r>
        <w:separator/>
      </w:r>
    </w:p>
    <w:p w14:paraId="00A1887C" w14:textId="77777777" w:rsidR="00804E9A" w:rsidRDefault="00804E9A"/>
  </w:endnote>
  <w:endnote w:type="continuationSeparator" w:id="0">
    <w:p w14:paraId="50338FD4" w14:textId="77777777" w:rsidR="00804E9A" w:rsidRDefault="00804E9A">
      <w:r>
        <w:continuationSeparator/>
      </w:r>
    </w:p>
    <w:p w14:paraId="6521A316" w14:textId="77777777" w:rsidR="00804E9A" w:rsidRDefault="00804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0F2388A3" w:rsidR="00B45F8F" w:rsidRPr="00B45F8F" w:rsidRDefault="00BD10DA" w:rsidP="00BD10DA">
    <w:pPr>
      <w:shd w:val="clear" w:color="auto" w:fill="FFFFFF"/>
      <w:tabs>
        <w:tab w:val="left" w:pos="4678"/>
      </w:tabs>
      <w:textAlignment w:val="baseline"/>
      <w:rPr>
        <w:sz w:val="18"/>
        <w:szCs w:val="18"/>
      </w:rPr>
    </w:pPr>
    <w:r w:rsidRPr="00BD10DA">
      <w:rPr>
        <w:color w:val="323130"/>
        <w:sz w:val="18"/>
        <w:szCs w:val="18"/>
        <w:bdr w:val="none" w:sz="0" w:space="0" w:color="auto" w:frame="1"/>
        <w:shd w:val="clear" w:color="auto" w:fill="FFFFFF"/>
      </w:rPr>
      <w:t>© JBI, 2020. All rights reserved. JBI grants use of these</w:t>
    </w:r>
    <w:r>
      <w:rPr>
        <w:color w:val="323130"/>
        <w:sz w:val="18"/>
        <w:szCs w:val="18"/>
        <w:bdr w:val="none" w:sz="0" w:space="0" w:color="auto" w:frame="1"/>
        <w:shd w:val="clear" w:color="auto" w:fill="FFFFFF"/>
      </w:rPr>
      <w:tab/>
    </w:r>
    <w:r>
      <w:rPr>
        <w:sz w:val="18"/>
        <w:szCs w:val="18"/>
      </w:rPr>
      <w:t xml:space="preserve">Critical Appraisal Checklist for Analytical Cross Sectional </w:t>
    </w:r>
    <w:proofErr w:type="gramStart"/>
    <w:r>
      <w:rPr>
        <w:sz w:val="18"/>
        <w:szCs w:val="18"/>
      </w:rPr>
      <w:t>Studies</w:t>
    </w:r>
    <w:r w:rsidRPr="00B45F8F">
      <w:rPr>
        <w:sz w:val="18"/>
        <w:szCs w:val="18"/>
      </w:rPr>
      <w:t xml:space="preserve">  -</w:t>
    </w:r>
    <w:proofErr w:type="gramEnd"/>
    <w:r w:rsidRPr="00B45F8F">
      <w:rPr>
        <w:b/>
        <w:bCs/>
        <w:sz w:val="18"/>
        <w:szCs w:val="18"/>
      </w:rPr>
      <w:t xml:space="preserve">  </w:t>
    </w:r>
    <w:r w:rsidRPr="00B45F8F">
      <w:rPr>
        <w:b/>
        <w:bCs/>
        <w:sz w:val="18"/>
        <w:szCs w:val="18"/>
      </w:rPr>
      <w:fldChar w:fldCharType="begin"/>
    </w:r>
    <w:r w:rsidRPr="00B45F8F">
      <w:rPr>
        <w:b/>
        <w:bCs/>
        <w:sz w:val="18"/>
        <w:szCs w:val="18"/>
      </w:rPr>
      <w:instrText xml:space="preserve"> PAGE  \* Arabic </w:instrText>
    </w:r>
    <w:r w:rsidRPr="00B45F8F">
      <w:rPr>
        <w:b/>
        <w:bCs/>
        <w:sz w:val="18"/>
        <w:szCs w:val="18"/>
      </w:rPr>
      <w:fldChar w:fldCharType="separate"/>
    </w:r>
    <w:r w:rsidR="000075F5">
      <w:rPr>
        <w:b/>
        <w:bCs/>
        <w:noProof/>
        <w:sz w:val="18"/>
        <w:szCs w:val="18"/>
      </w:rPr>
      <w:t>5</w:t>
    </w:r>
    <w:r w:rsidRPr="00B45F8F">
      <w:rPr>
        <w:b/>
        <w:bCs/>
        <w:sz w:val="18"/>
        <w:szCs w:val="18"/>
      </w:rPr>
      <w:fldChar w:fldCharType="end"/>
    </w:r>
    <w:r>
      <w:rPr>
        <w:color w:val="323130"/>
        <w:sz w:val="18"/>
        <w:szCs w:val="18"/>
        <w:bdr w:val="none" w:sz="0" w:space="0" w:color="auto" w:frame="1"/>
        <w:shd w:val="clear" w:color="auto" w:fill="FFFFFF"/>
      </w:rPr>
      <w:br/>
    </w:r>
    <w:r w:rsidRPr="00BD10DA">
      <w:rPr>
        <w:color w:val="323130"/>
        <w:sz w:val="18"/>
        <w:szCs w:val="18"/>
        <w:bdr w:val="none" w:sz="0" w:space="0" w:color="auto" w:frame="1"/>
        <w:shd w:val="clear" w:color="auto" w:fill="FFFFFF"/>
      </w:rPr>
      <w:t xml:space="preserve"> tools for research purposes only. All other enquiries</w:t>
    </w:r>
    <w:r>
      <w:rPr>
        <w:color w:val="323130"/>
        <w:sz w:val="18"/>
        <w:szCs w:val="18"/>
        <w:bdr w:val="none" w:sz="0" w:space="0" w:color="auto" w:frame="1"/>
        <w:shd w:val="clear" w:color="auto" w:fill="FFFFFF"/>
      </w:rPr>
      <w:br/>
    </w:r>
    <w:r w:rsidRPr="00BD10DA">
      <w:rPr>
        <w:color w:val="323130"/>
        <w:sz w:val="18"/>
        <w:szCs w:val="18"/>
        <w:bdr w:val="none" w:sz="0" w:space="0" w:color="auto" w:frame="1"/>
        <w:shd w:val="clear" w:color="auto" w:fill="FFFFFF"/>
      </w:rPr>
      <w:t xml:space="preserve"> should be sent to </w:t>
    </w:r>
    <w:hyperlink r:id="rId1" w:tgtFrame="_blank" w:history="1">
      <w:r w:rsidRPr="00BD10DA">
        <w:rPr>
          <w:rStyle w:val="Hyperlink"/>
          <w:sz w:val="18"/>
          <w:szCs w:val="18"/>
          <w:bdr w:val="none" w:sz="0" w:space="0" w:color="auto" w:frame="1"/>
          <w:shd w:val="clear" w:color="auto" w:fill="FFFFFF"/>
        </w:rPr>
        <w:t>jbisynthesis@adelaide.edu.au</w:t>
      </w:r>
    </w:hyperlink>
    <w:r w:rsidRPr="00BD10DA">
      <w:rPr>
        <w:color w:val="44546A"/>
        <w:sz w:val="18"/>
        <w:szCs w:val="18"/>
        <w:bdr w:val="none" w:sz="0" w:space="0" w:color="auto" w:frame="1"/>
        <w:shd w:val="clear" w:color="auto" w:fill="FFFFFF"/>
      </w:rPr>
      <w:t>.</w:t>
    </w:r>
    <w:r>
      <w:rPr>
        <w:color w:val="44546A"/>
        <w:sz w:val="18"/>
        <w:szCs w:val="18"/>
        <w:bdr w:val="none" w:sz="0" w:space="0" w:color="auto" w:frame="1"/>
        <w:shd w:val="clear" w:color="auto" w:fill="FFFFF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9C6D" w14:textId="77777777" w:rsidR="00804E9A" w:rsidRDefault="00804E9A">
      <w:r>
        <w:separator/>
      </w:r>
    </w:p>
    <w:p w14:paraId="3B79C8EE" w14:textId="77777777" w:rsidR="00804E9A" w:rsidRDefault="00804E9A"/>
  </w:footnote>
  <w:footnote w:type="continuationSeparator" w:id="0">
    <w:p w14:paraId="02235CD2" w14:textId="77777777" w:rsidR="00804E9A" w:rsidRDefault="00804E9A">
      <w:r>
        <w:continuationSeparator/>
      </w:r>
    </w:p>
    <w:p w14:paraId="21ACA2B5" w14:textId="77777777" w:rsidR="00804E9A" w:rsidRDefault="00804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804E9A"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E031B9"/>
    <w:multiLevelType w:val="hybridMultilevel"/>
    <w:tmpl w:val="7D78F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12"/>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13"/>
    <w:lvlOverride w:ilvl="0">
      <w:startOverride w:val="1"/>
    </w:lvlOverride>
  </w:num>
  <w:num w:numId="11">
    <w:abstractNumId w:val="13"/>
    <w:lvlOverride w:ilvl="0">
      <w:startOverride w:val="1"/>
    </w:lvlOverride>
  </w:num>
  <w:num w:numId="12">
    <w:abstractNumId w:val="13"/>
  </w:num>
  <w:num w:numId="13">
    <w:abstractNumId w:val="13"/>
    <w:lvlOverride w:ilvl="0">
      <w:startOverride w:val="1"/>
    </w:lvlOverride>
  </w:num>
  <w:num w:numId="14">
    <w:abstractNumId w:val="0"/>
  </w:num>
  <w:num w:numId="15">
    <w:abstractNumId w:val="0"/>
  </w:num>
  <w:num w:numId="16">
    <w:abstractNumId w:val="0"/>
  </w:num>
  <w:num w:numId="17">
    <w:abstractNumId w:val="6"/>
  </w:num>
  <w:num w:numId="18">
    <w:abstractNumId w:val="5"/>
  </w:num>
  <w:num w:numId="19">
    <w:abstractNumId w:val="9"/>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BF7"/>
    <w:rsid w:val="000075F5"/>
    <w:rsid w:val="000149E0"/>
    <w:rsid w:val="00045FC9"/>
    <w:rsid w:val="000512B2"/>
    <w:rsid w:val="00054C1F"/>
    <w:rsid w:val="0006034C"/>
    <w:rsid w:val="00070BF8"/>
    <w:rsid w:val="00080D03"/>
    <w:rsid w:val="000822C3"/>
    <w:rsid w:val="00103885"/>
    <w:rsid w:val="001227E0"/>
    <w:rsid w:val="00122ECB"/>
    <w:rsid w:val="00127D9C"/>
    <w:rsid w:val="0014485A"/>
    <w:rsid w:val="00156299"/>
    <w:rsid w:val="00177F8D"/>
    <w:rsid w:val="001A1585"/>
    <w:rsid w:val="001C43D0"/>
    <w:rsid w:val="001C7AE0"/>
    <w:rsid w:val="001D0949"/>
    <w:rsid w:val="001E2F21"/>
    <w:rsid w:val="001E3EF8"/>
    <w:rsid w:val="001E4569"/>
    <w:rsid w:val="001E510E"/>
    <w:rsid w:val="002014AD"/>
    <w:rsid w:val="002119D4"/>
    <w:rsid w:val="00213FDA"/>
    <w:rsid w:val="002210EE"/>
    <w:rsid w:val="002344EF"/>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B1099"/>
    <w:rsid w:val="004B3C05"/>
    <w:rsid w:val="004C76A1"/>
    <w:rsid w:val="004D71B0"/>
    <w:rsid w:val="004E3235"/>
    <w:rsid w:val="004F2863"/>
    <w:rsid w:val="004F44E4"/>
    <w:rsid w:val="004F5510"/>
    <w:rsid w:val="00514E31"/>
    <w:rsid w:val="00532519"/>
    <w:rsid w:val="005402CA"/>
    <w:rsid w:val="00541929"/>
    <w:rsid w:val="00543CB7"/>
    <w:rsid w:val="00544393"/>
    <w:rsid w:val="0055121E"/>
    <w:rsid w:val="00556ABC"/>
    <w:rsid w:val="005A6C5D"/>
    <w:rsid w:val="005C5367"/>
    <w:rsid w:val="005E3A1E"/>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E0B07"/>
    <w:rsid w:val="007F30C4"/>
    <w:rsid w:val="008021AB"/>
    <w:rsid w:val="00804E9A"/>
    <w:rsid w:val="00823FB0"/>
    <w:rsid w:val="00834806"/>
    <w:rsid w:val="00851A6F"/>
    <w:rsid w:val="00855F00"/>
    <w:rsid w:val="00892375"/>
    <w:rsid w:val="0089521E"/>
    <w:rsid w:val="008A4B67"/>
    <w:rsid w:val="008B22E9"/>
    <w:rsid w:val="008B32D5"/>
    <w:rsid w:val="008B5D43"/>
    <w:rsid w:val="008C5248"/>
    <w:rsid w:val="008E10F5"/>
    <w:rsid w:val="008E3402"/>
    <w:rsid w:val="00904790"/>
    <w:rsid w:val="0090647E"/>
    <w:rsid w:val="009430F5"/>
    <w:rsid w:val="0094364A"/>
    <w:rsid w:val="009675A8"/>
    <w:rsid w:val="00970DDD"/>
    <w:rsid w:val="00974E7D"/>
    <w:rsid w:val="00980C5C"/>
    <w:rsid w:val="009A1A6D"/>
    <w:rsid w:val="009A5D4F"/>
    <w:rsid w:val="009A65EC"/>
    <w:rsid w:val="009B1689"/>
    <w:rsid w:val="009C20B2"/>
    <w:rsid w:val="009C2CA4"/>
    <w:rsid w:val="009D21A9"/>
    <w:rsid w:val="009E0563"/>
    <w:rsid w:val="009E0C2E"/>
    <w:rsid w:val="009E4C7C"/>
    <w:rsid w:val="00A06829"/>
    <w:rsid w:val="00A2036B"/>
    <w:rsid w:val="00A23F5B"/>
    <w:rsid w:val="00A47011"/>
    <w:rsid w:val="00A56394"/>
    <w:rsid w:val="00A5731A"/>
    <w:rsid w:val="00A82673"/>
    <w:rsid w:val="00AB3B71"/>
    <w:rsid w:val="00AB7F6B"/>
    <w:rsid w:val="00AC0BF7"/>
    <w:rsid w:val="00AC1090"/>
    <w:rsid w:val="00AC739E"/>
    <w:rsid w:val="00AD0279"/>
    <w:rsid w:val="00AD7FF1"/>
    <w:rsid w:val="00B2046D"/>
    <w:rsid w:val="00B267C4"/>
    <w:rsid w:val="00B366A5"/>
    <w:rsid w:val="00B41CF3"/>
    <w:rsid w:val="00B45F8F"/>
    <w:rsid w:val="00B61317"/>
    <w:rsid w:val="00B7781E"/>
    <w:rsid w:val="00B96321"/>
    <w:rsid w:val="00B97311"/>
    <w:rsid w:val="00BA2855"/>
    <w:rsid w:val="00BA739F"/>
    <w:rsid w:val="00BD03DB"/>
    <w:rsid w:val="00BD10DA"/>
    <w:rsid w:val="00BE6BB3"/>
    <w:rsid w:val="00C13BD8"/>
    <w:rsid w:val="00C13EF3"/>
    <w:rsid w:val="00C23580"/>
    <w:rsid w:val="00C265E2"/>
    <w:rsid w:val="00C30BD7"/>
    <w:rsid w:val="00C41424"/>
    <w:rsid w:val="00C41AFD"/>
    <w:rsid w:val="00C60E30"/>
    <w:rsid w:val="00C6572D"/>
    <w:rsid w:val="00C700CE"/>
    <w:rsid w:val="00C92C51"/>
    <w:rsid w:val="00CB209D"/>
    <w:rsid w:val="00CE709C"/>
    <w:rsid w:val="00CE73AE"/>
    <w:rsid w:val="00D04BC6"/>
    <w:rsid w:val="00D04E71"/>
    <w:rsid w:val="00D108B2"/>
    <w:rsid w:val="00D2470C"/>
    <w:rsid w:val="00D54618"/>
    <w:rsid w:val="00D57189"/>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B6E0D"/>
    <w:rsid w:val="00EC28A1"/>
    <w:rsid w:val="00EC7524"/>
    <w:rsid w:val="00ED363D"/>
    <w:rsid w:val="00ED36A6"/>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character" w:customStyle="1" w:styleId="UnresolvedMention1">
    <w:name w:val="Unresolved Mention1"/>
    <w:basedOn w:val="DefaultParagraphFont"/>
    <w:uiPriority w:val="99"/>
    <w:semiHidden/>
    <w:unhideWhenUsed/>
    <w:rsid w:val="009D21A9"/>
    <w:rPr>
      <w:color w:val="605E5C"/>
      <w:shd w:val="clear" w:color="auto" w:fill="E1DFDD"/>
    </w:rPr>
  </w:style>
  <w:style w:type="character" w:styleId="FollowedHyperlink">
    <w:name w:val="FollowedHyperlink"/>
    <w:basedOn w:val="DefaultParagraphFont"/>
    <w:uiPriority w:val="99"/>
    <w:semiHidden/>
    <w:unhideWhenUsed/>
    <w:rsid w:val="00B97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4290">
      <w:bodyDiv w:val="1"/>
      <w:marLeft w:val="0"/>
      <w:marRight w:val="0"/>
      <w:marTop w:val="0"/>
      <w:marBottom w:val="0"/>
      <w:divBdr>
        <w:top w:val="none" w:sz="0" w:space="0" w:color="auto"/>
        <w:left w:val="none" w:sz="0" w:space="0" w:color="auto"/>
        <w:bottom w:val="none" w:sz="0" w:space="0" w:color="auto"/>
        <w:right w:val="none" w:sz="0" w:space="0" w:color="auto"/>
      </w:divBdr>
      <w:divsChild>
        <w:div w:id="1700356103">
          <w:marLeft w:val="0"/>
          <w:marRight w:val="0"/>
          <w:marTop w:val="0"/>
          <w:marBottom w:val="0"/>
          <w:divBdr>
            <w:top w:val="none" w:sz="0" w:space="0" w:color="auto"/>
            <w:left w:val="none" w:sz="0" w:space="0" w:color="auto"/>
            <w:bottom w:val="none" w:sz="0" w:space="0" w:color="auto"/>
            <w:right w:val="none" w:sz="0" w:space="0" w:color="auto"/>
          </w:divBdr>
        </w:div>
      </w:divsChild>
    </w:div>
    <w:div w:id="3358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ynthesismanual.jbi.globa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jbi-global-wiki.refined.site/space/MANU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Chris Tonkin</dc:creator>
  <cp:keywords/>
  <dc:description/>
  <cp:lastModifiedBy>Lofty</cp:lastModifiedBy>
  <cp:revision>6</cp:revision>
  <cp:lastPrinted>2002-08-05T05:43:00Z</cp:lastPrinted>
  <dcterms:created xsi:type="dcterms:W3CDTF">2020-06-22T03:50:00Z</dcterms:created>
  <dcterms:modified xsi:type="dcterms:W3CDTF">2021-10-04T23:02:00Z</dcterms:modified>
</cp:coreProperties>
</file>